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5035" w14:textId="77777777" w:rsidR="0057765C" w:rsidRDefault="0057765C" w:rsidP="0057765C">
      <w:pPr>
        <w:pStyle w:val="Ttulo1"/>
        <w:rPr>
          <w:color w:val="auto"/>
        </w:rPr>
      </w:pPr>
      <w:r w:rsidRPr="0057765C">
        <w:rPr>
          <w:color w:val="auto"/>
        </w:rPr>
        <w:t>ESTATUTOS DE LA ENTIDAD: [NOMBRE DE LA SOCIEDAD], SOCIEDAD LIMITADA LABORAL</w:t>
      </w:r>
    </w:p>
    <w:p w14:paraId="2AC037F8" w14:textId="77777777" w:rsidR="0057765C" w:rsidRPr="0057765C" w:rsidRDefault="0057765C" w:rsidP="0057765C"/>
    <w:p w14:paraId="7B83D47F" w14:textId="77777777" w:rsidR="0057765C" w:rsidRPr="0057765C" w:rsidRDefault="0057765C" w:rsidP="0057765C">
      <w:pPr>
        <w:pStyle w:val="Ttulo1"/>
        <w:rPr>
          <w:color w:val="auto"/>
        </w:rPr>
      </w:pPr>
      <w:r w:rsidRPr="0057765C">
        <w:rPr>
          <w:color w:val="auto"/>
        </w:rPr>
        <w:t>TÍTULO I. DISPOSICIONES GENERALES</w:t>
      </w:r>
    </w:p>
    <w:p w14:paraId="0B7C04C6" w14:textId="77777777" w:rsidR="0057765C" w:rsidRPr="0057765C" w:rsidRDefault="0057765C" w:rsidP="0057765C">
      <w:r w:rsidRPr="0057765C">
        <w:rPr>
          <w:b/>
          <w:bCs/>
        </w:rPr>
        <w:t>Artículo 1. Denominación</w:t>
      </w:r>
      <w:r w:rsidRPr="0057765C">
        <w:t xml:space="preserve"> La sociedad se denomina </w:t>
      </w:r>
      <w:r w:rsidRPr="0057765C">
        <w:rPr>
          <w:b/>
          <w:bCs/>
        </w:rPr>
        <w:t>[Nombre de la Empresa]</w:t>
      </w:r>
      <w:r w:rsidRPr="0057765C">
        <w:t>, sociedad limitada laboral o sociedad de responsabilidad limitada laboral.</w:t>
      </w:r>
    </w:p>
    <w:p w14:paraId="2FCFE47E" w14:textId="77777777" w:rsidR="0057765C" w:rsidRPr="0057765C" w:rsidRDefault="0057765C" w:rsidP="0057765C">
      <w:r w:rsidRPr="0057765C">
        <w:rPr>
          <w:b/>
          <w:bCs/>
        </w:rPr>
        <w:t>Artículo 2. Objeto social</w:t>
      </w:r>
      <w:r w:rsidRPr="0057765C">
        <w:t xml:space="preserve"> La sociedad tiene por objeto: </w:t>
      </w:r>
      <w:r w:rsidRPr="0057765C">
        <w:rPr>
          <w:b/>
          <w:bCs/>
        </w:rPr>
        <w:t>[Describir aquí la actividad]</w:t>
      </w:r>
      <w:r w:rsidRPr="0057765C">
        <w:t>. Estas actividades pueden ser realizadas por la sociedad, directa o indirectamente, mediante la titularidad de acciones o participaciones en sociedades de objeto idéntico o análogo.</w:t>
      </w:r>
    </w:p>
    <w:p w14:paraId="557D70F7" w14:textId="77777777" w:rsidR="0057765C" w:rsidRPr="0057765C" w:rsidRDefault="0057765C" w:rsidP="0057765C">
      <w:r w:rsidRPr="0057765C">
        <w:rPr>
          <w:b/>
          <w:bCs/>
        </w:rPr>
        <w:t>Artículo 3. Duración e inicio de las operaciones</w:t>
      </w:r>
      <w:r w:rsidRPr="0057765C">
        <w:t xml:space="preserve"> La sociedad tiene una duración indefinida y </w:t>
      </w:r>
      <w:proofErr w:type="gramStart"/>
      <w:r w:rsidRPr="0057765C">
        <w:t>da inicio a</w:t>
      </w:r>
      <w:proofErr w:type="gramEnd"/>
      <w:r w:rsidRPr="0057765C">
        <w:t xml:space="preserve"> sus operaciones el día del otorgamiento de la escritura de constitución.</w:t>
      </w:r>
    </w:p>
    <w:p w14:paraId="4863A09A" w14:textId="77777777" w:rsidR="0057765C" w:rsidRPr="0057765C" w:rsidRDefault="0057765C" w:rsidP="0057765C">
      <w:r w:rsidRPr="0057765C">
        <w:rPr>
          <w:b/>
          <w:bCs/>
        </w:rPr>
        <w:t>Artículo 4. Domicilio</w:t>
      </w:r>
      <w:r w:rsidRPr="0057765C">
        <w:t xml:space="preserve"> El domicilio social se fija en: </w:t>
      </w:r>
      <w:r w:rsidRPr="0057765C">
        <w:rPr>
          <w:b/>
          <w:bCs/>
        </w:rPr>
        <w:t>[Dirección completa]</w:t>
      </w:r>
      <w:r w:rsidRPr="0057765C">
        <w:t>. El órgano de administración es competente para el traslado del domicilio social dentro de la misma población, así como para la creación, supresión o traslado de sucursales, agencias o delegaciones, tanto en territorio nacional como extranjero.</w:t>
      </w:r>
    </w:p>
    <w:p w14:paraId="31150ADD" w14:textId="77777777" w:rsidR="0057765C" w:rsidRPr="0057765C" w:rsidRDefault="0057765C" w:rsidP="0057765C">
      <w:r w:rsidRPr="0057765C">
        <w:rPr>
          <w:b/>
          <w:bCs/>
        </w:rPr>
        <w:t>Artículo 5. Régimen jurídico</w:t>
      </w:r>
      <w:r w:rsidRPr="0057765C">
        <w:t xml:space="preserve"> La sociedad se rige por estos estatutos y, en lo no previsto, por las disposiciones de la vigente </w:t>
      </w:r>
      <w:r w:rsidRPr="0057765C">
        <w:rPr>
          <w:b/>
          <w:bCs/>
        </w:rPr>
        <w:t>Ley 44/2015</w:t>
      </w:r>
      <w:r w:rsidRPr="0057765C">
        <w:t xml:space="preserve">, de 14 de octubre, de Sociedades Laborales y Participadas; el </w:t>
      </w:r>
      <w:r w:rsidRPr="0057765C">
        <w:rPr>
          <w:b/>
          <w:bCs/>
        </w:rPr>
        <w:t>Real Decreto Legislativo 1/2010</w:t>
      </w:r>
      <w:r w:rsidRPr="0057765C">
        <w:t>, de 2 de julio (Ley de Sociedades de Capital); el Código de Comercio y demás disposiciones de carácter general.</w:t>
      </w:r>
    </w:p>
    <w:p w14:paraId="0F4E8EBD" w14:textId="772F5299" w:rsidR="0057765C" w:rsidRPr="0057765C" w:rsidRDefault="0057765C" w:rsidP="0057765C"/>
    <w:p w14:paraId="53C6A2F4" w14:textId="77777777" w:rsidR="0057765C" w:rsidRPr="0057765C" w:rsidRDefault="0057765C" w:rsidP="0057765C">
      <w:pPr>
        <w:pStyle w:val="Ttulo1"/>
        <w:rPr>
          <w:color w:val="auto"/>
        </w:rPr>
      </w:pPr>
      <w:r w:rsidRPr="0057765C">
        <w:rPr>
          <w:color w:val="auto"/>
        </w:rPr>
        <w:t xml:space="preserve">TÍTULO II. </w:t>
      </w:r>
      <w:proofErr w:type="gramStart"/>
      <w:r w:rsidRPr="0057765C">
        <w:rPr>
          <w:color w:val="auto"/>
        </w:rPr>
        <w:t>CAPITAL SOCIAL Y PARTICIPACIONES SOCIALES</w:t>
      </w:r>
      <w:proofErr w:type="gramEnd"/>
    </w:p>
    <w:p w14:paraId="0666509F" w14:textId="77777777" w:rsidR="0057765C" w:rsidRPr="0057765C" w:rsidRDefault="0057765C" w:rsidP="0057765C">
      <w:r w:rsidRPr="0057765C">
        <w:rPr>
          <w:b/>
          <w:bCs/>
        </w:rPr>
        <w:t>Artículo 6. Capital social</w:t>
      </w:r>
      <w:r w:rsidRPr="0057765C">
        <w:t xml:space="preserve"> El capital social se fija en la cantidad de </w:t>
      </w:r>
      <w:r w:rsidRPr="0057765C">
        <w:rPr>
          <w:b/>
          <w:bCs/>
        </w:rPr>
        <w:t>[Importe en euros]</w:t>
      </w:r>
      <w:r w:rsidRPr="0057765C">
        <w:t xml:space="preserve"> €, y está representado y dividido en </w:t>
      </w:r>
      <w:r w:rsidRPr="0057765C">
        <w:rPr>
          <w:b/>
          <w:bCs/>
        </w:rPr>
        <w:t>[Número]</w:t>
      </w:r>
      <w:r w:rsidRPr="0057765C">
        <w:t xml:space="preserve"> participaciones sociales, de </w:t>
      </w:r>
      <w:r w:rsidRPr="0057765C">
        <w:rPr>
          <w:b/>
          <w:bCs/>
        </w:rPr>
        <w:t>[Valor nominal]</w:t>
      </w:r>
      <w:r w:rsidRPr="0057765C">
        <w:t xml:space="preserve"> € de valor nominal cada una, totalmente suscritas y desembolsadas por los socios.</w:t>
      </w:r>
    </w:p>
    <w:p w14:paraId="1E2F9F68" w14:textId="77777777" w:rsidR="0057765C" w:rsidRPr="0057765C" w:rsidRDefault="0057765C" w:rsidP="0057765C">
      <w:r w:rsidRPr="0057765C">
        <w:rPr>
          <w:b/>
          <w:bCs/>
        </w:rPr>
        <w:t>Artículo 7. Clases de participaciones</w:t>
      </w:r>
    </w:p>
    <w:p w14:paraId="240322BD" w14:textId="77777777" w:rsidR="0057765C" w:rsidRPr="0057765C" w:rsidRDefault="0057765C" w:rsidP="0057765C">
      <w:pPr>
        <w:numPr>
          <w:ilvl w:val="0"/>
          <w:numId w:val="1"/>
        </w:numPr>
      </w:pPr>
      <w:r w:rsidRPr="0057765C">
        <w:t xml:space="preserve">Las participaciones números </w:t>
      </w:r>
      <w:r w:rsidRPr="0057765C">
        <w:rPr>
          <w:b/>
          <w:bCs/>
        </w:rPr>
        <w:t>[...]</w:t>
      </w:r>
      <w:r w:rsidRPr="0057765C">
        <w:t xml:space="preserve"> a </w:t>
      </w:r>
      <w:r w:rsidRPr="0057765C">
        <w:rPr>
          <w:b/>
          <w:bCs/>
        </w:rPr>
        <w:t>[...]</w:t>
      </w:r>
      <w:r w:rsidRPr="0057765C">
        <w:t xml:space="preserve"> son de la </w:t>
      </w:r>
      <w:r w:rsidRPr="0057765C">
        <w:rPr>
          <w:b/>
          <w:bCs/>
        </w:rPr>
        <w:t>clase laboral</w:t>
      </w:r>
      <w:r w:rsidRPr="0057765C">
        <w:t>: suscritas por trabajadores con relación laboral por tiempo indefinido, que deben representar la mayoría del capital social.</w:t>
      </w:r>
    </w:p>
    <w:p w14:paraId="27586ADA" w14:textId="77777777" w:rsidR="0057765C" w:rsidRPr="0057765C" w:rsidRDefault="0057765C" w:rsidP="0057765C">
      <w:pPr>
        <w:numPr>
          <w:ilvl w:val="0"/>
          <w:numId w:val="1"/>
        </w:numPr>
      </w:pPr>
      <w:r w:rsidRPr="0057765C">
        <w:t xml:space="preserve">Las participaciones números </w:t>
      </w:r>
      <w:r w:rsidRPr="0057765C">
        <w:rPr>
          <w:b/>
          <w:bCs/>
        </w:rPr>
        <w:t>[...]</w:t>
      </w:r>
      <w:r w:rsidRPr="0057765C">
        <w:t xml:space="preserve"> a </w:t>
      </w:r>
      <w:r w:rsidRPr="0057765C">
        <w:rPr>
          <w:b/>
          <w:bCs/>
        </w:rPr>
        <w:t>[...]</w:t>
      </w:r>
      <w:r w:rsidRPr="0057765C">
        <w:t xml:space="preserve"> son de la </w:t>
      </w:r>
      <w:r w:rsidRPr="0057765C">
        <w:rPr>
          <w:b/>
          <w:bCs/>
        </w:rPr>
        <w:t>clase general</w:t>
      </w:r>
      <w:r w:rsidRPr="0057765C">
        <w:t>: las restantes.</w:t>
      </w:r>
    </w:p>
    <w:p w14:paraId="0607FDE6" w14:textId="77777777" w:rsidR="0057765C" w:rsidRPr="0057765C" w:rsidRDefault="0057765C" w:rsidP="0057765C">
      <w:pPr>
        <w:numPr>
          <w:ilvl w:val="0"/>
          <w:numId w:val="1"/>
        </w:numPr>
      </w:pPr>
      <w:r w:rsidRPr="0057765C">
        <w:t>Cada participación otorga al titular derechos y obligaciones proporcionales en el activo y pasivo de la sociedad.</w:t>
      </w:r>
    </w:p>
    <w:p w14:paraId="7BA405B7" w14:textId="77777777" w:rsidR="0057765C" w:rsidRPr="0057765C" w:rsidRDefault="0057765C" w:rsidP="0057765C">
      <w:r w:rsidRPr="0057765C">
        <w:rPr>
          <w:b/>
          <w:bCs/>
        </w:rPr>
        <w:t>Artículo 8. Limitación de responsabilidad y titularidad</w:t>
      </w:r>
    </w:p>
    <w:p w14:paraId="5E7C4147" w14:textId="77777777" w:rsidR="0057765C" w:rsidRPr="0057765C" w:rsidRDefault="0057765C" w:rsidP="0057765C">
      <w:pPr>
        <w:numPr>
          <w:ilvl w:val="0"/>
          <w:numId w:val="2"/>
        </w:numPr>
      </w:pPr>
      <w:r w:rsidRPr="0057765C">
        <w:lastRenderedPageBreak/>
        <w:t>Los socios no responden personalmente de las deudas sociales; su responsabilidad se limita a sus respectivas participaciones.</w:t>
      </w:r>
    </w:p>
    <w:p w14:paraId="5FE12E1D" w14:textId="77777777" w:rsidR="0057765C" w:rsidRPr="0057765C" w:rsidRDefault="0057765C" w:rsidP="0057765C">
      <w:pPr>
        <w:numPr>
          <w:ilvl w:val="0"/>
          <w:numId w:val="2"/>
        </w:numPr>
      </w:pPr>
      <w:r w:rsidRPr="0057765C">
        <w:t>La titularidad de las participaciones de clase laboral queda reservada exclusivamente a los trabajadores de la sociedad con contrato por tiempo indefinido.</w:t>
      </w:r>
    </w:p>
    <w:p w14:paraId="5CB2E8E6" w14:textId="77777777" w:rsidR="0057765C" w:rsidRPr="0057765C" w:rsidRDefault="0057765C" w:rsidP="0057765C">
      <w:r w:rsidRPr="0057765C">
        <w:rPr>
          <w:b/>
          <w:bCs/>
        </w:rPr>
        <w:t>Artículo 9. Libro registro de socios y transmisión</w:t>
      </w:r>
    </w:p>
    <w:p w14:paraId="569D9BA4" w14:textId="77777777" w:rsidR="0057765C" w:rsidRPr="0057765C" w:rsidRDefault="0057765C" w:rsidP="0057765C">
      <w:pPr>
        <w:numPr>
          <w:ilvl w:val="0"/>
          <w:numId w:val="3"/>
        </w:numPr>
      </w:pPr>
      <w:r w:rsidRPr="0057765C">
        <w:t xml:space="preserve">La sociedad llevará un </w:t>
      </w:r>
      <w:r w:rsidRPr="0057765C">
        <w:rPr>
          <w:b/>
          <w:bCs/>
        </w:rPr>
        <w:t>Libro registro de socios</w:t>
      </w:r>
      <w:r w:rsidRPr="0057765C">
        <w:t xml:space="preserve"> donde constará la titularidad y las transmisiones de las participaciones.</w:t>
      </w:r>
    </w:p>
    <w:p w14:paraId="7768C57B" w14:textId="77777777" w:rsidR="0057765C" w:rsidRPr="0057765C" w:rsidRDefault="0057765C" w:rsidP="0057765C">
      <w:pPr>
        <w:numPr>
          <w:ilvl w:val="0"/>
          <w:numId w:val="3"/>
        </w:numPr>
      </w:pPr>
      <w:r w:rsidRPr="0057765C">
        <w:t>La transmisión de participaciones se rige por los artículos 6 y siguientes de la Ley de Sociedades Laborales y, supletoriamente, por la Ley de Sociedades de Capital.</w:t>
      </w:r>
    </w:p>
    <w:p w14:paraId="096CF6E6" w14:textId="43217FC4" w:rsidR="0057765C" w:rsidRPr="0057765C" w:rsidRDefault="0057765C" w:rsidP="0057765C"/>
    <w:p w14:paraId="344888BB" w14:textId="77777777" w:rsidR="0057765C" w:rsidRPr="0057765C" w:rsidRDefault="0057765C" w:rsidP="0057765C">
      <w:pPr>
        <w:pStyle w:val="Ttulo1"/>
        <w:rPr>
          <w:b/>
          <w:bCs/>
          <w:color w:val="auto"/>
        </w:rPr>
      </w:pPr>
      <w:r w:rsidRPr="0057765C">
        <w:rPr>
          <w:b/>
          <w:bCs/>
          <w:color w:val="auto"/>
        </w:rPr>
        <w:t>TÍTULO III. ÓRGANOS DE LA SOCIEDAD</w:t>
      </w:r>
    </w:p>
    <w:p w14:paraId="5DB24A18" w14:textId="77777777" w:rsidR="0057765C" w:rsidRPr="0057765C" w:rsidRDefault="0057765C" w:rsidP="0057765C">
      <w:r w:rsidRPr="0057765C">
        <w:rPr>
          <w:b/>
          <w:bCs/>
        </w:rPr>
        <w:t>Artículo 10. Órganos de gobierno</w:t>
      </w:r>
      <w:r w:rsidRPr="0057765C">
        <w:t xml:space="preserve"> La sociedad se rige por los acuerdos de la </w:t>
      </w:r>
      <w:r w:rsidRPr="0057765C">
        <w:rPr>
          <w:b/>
          <w:bCs/>
        </w:rPr>
        <w:t>Junta General</w:t>
      </w:r>
      <w:r w:rsidRPr="0057765C">
        <w:t xml:space="preserve"> (órgano deliberante) y por el </w:t>
      </w:r>
      <w:r w:rsidRPr="0057765C">
        <w:rPr>
          <w:b/>
          <w:bCs/>
        </w:rPr>
        <w:t>Órgano de Administración</w:t>
      </w:r>
      <w:r w:rsidRPr="0057765C">
        <w:t xml:space="preserve"> (gestión y representación).</w:t>
      </w:r>
    </w:p>
    <w:p w14:paraId="1BD16498" w14:textId="77777777" w:rsidR="0057765C" w:rsidRPr="0057765C" w:rsidRDefault="0057765C" w:rsidP="0057765C">
      <w:pPr>
        <w:rPr>
          <w:b/>
          <w:bCs/>
        </w:rPr>
      </w:pPr>
      <w:r w:rsidRPr="0057765C">
        <w:rPr>
          <w:b/>
          <w:bCs/>
        </w:rPr>
        <w:t>A. La Junta General</w:t>
      </w:r>
    </w:p>
    <w:p w14:paraId="4B0CE7F2" w14:textId="77777777" w:rsidR="0057765C" w:rsidRPr="0057765C" w:rsidRDefault="0057765C" w:rsidP="0057765C">
      <w:r w:rsidRPr="0057765C">
        <w:rPr>
          <w:b/>
          <w:bCs/>
        </w:rPr>
        <w:t>Artículo 11. Convocatoria y asistencia</w:t>
      </w:r>
    </w:p>
    <w:p w14:paraId="492B08C1" w14:textId="77777777" w:rsidR="0057765C" w:rsidRPr="0057765C" w:rsidRDefault="0057765C" w:rsidP="0057765C">
      <w:pPr>
        <w:numPr>
          <w:ilvl w:val="0"/>
          <w:numId w:val="4"/>
        </w:numPr>
      </w:pPr>
      <w:r w:rsidRPr="0057765C">
        <w:t xml:space="preserve">La Junta General debe ser convocada por el órgano de administración dentro de los </w:t>
      </w:r>
      <w:r w:rsidRPr="0057765C">
        <w:rPr>
          <w:b/>
          <w:bCs/>
        </w:rPr>
        <w:t>seis primeros meses</w:t>
      </w:r>
      <w:r w:rsidRPr="0057765C">
        <w:t xml:space="preserve"> de cada ejercicio para aprobar las cuentas y la gestión.</w:t>
      </w:r>
    </w:p>
    <w:p w14:paraId="12FBA5CA" w14:textId="77777777" w:rsidR="0057765C" w:rsidRPr="0057765C" w:rsidRDefault="0057765C" w:rsidP="0057765C">
      <w:pPr>
        <w:numPr>
          <w:ilvl w:val="0"/>
          <w:numId w:val="4"/>
        </w:numPr>
      </w:pPr>
      <w:r w:rsidRPr="0057765C">
        <w:t xml:space="preserve">La convocatoria se hará mediante </w:t>
      </w:r>
      <w:r w:rsidRPr="0057765C">
        <w:rPr>
          <w:b/>
          <w:bCs/>
        </w:rPr>
        <w:t>carta certificada con acuse de recibo</w:t>
      </w:r>
      <w:r w:rsidRPr="0057765C">
        <w:t xml:space="preserve"> al domicilio del socio, con una antelación mínima de </w:t>
      </w:r>
      <w:r w:rsidRPr="0057765C">
        <w:rPr>
          <w:b/>
          <w:bCs/>
        </w:rPr>
        <w:t>15 días</w:t>
      </w:r>
      <w:r w:rsidRPr="0057765C">
        <w:t>.</w:t>
      </w:r>
    </w:p>
    <w:p w14:paraId="5B13E968" w14:textId="77777777" w:rsidR="0057765C" w:rsidRPr="0057765C" w:rsidRDefault="0057765C" w:rsidP="0057765C">
      <w:pPr>
        <w:numPr>
          <w:ilvl w:val="0"/>
          <w:numId w:val="4"/>
        </w:numPr>
      </w:pPr>
      <w:r w:rsidRPr="0057765C">
        <w:t>Todos los socios tienen derecho de asistencia.</w:t>
      </w:r>
    </w:p>
    <w:p w14:paraId="25EE2F5F" w14:textId="77777777" w:rsidR="0057765C" w:rsidRPr="0057765C" w:rsidRDefault="0057765C" w:rsidP="0057765C">
      <w:r w:rsidRPr="0057765C">
        <w:rPr>
          <w:b/>
          <w:bCs/>
        </w:rPr>
        <w:t>Artículo 12. Adopción de acuerdos</w:t>
      </w:r>
    </w:p>
    <w:p w14:paraId="3D9C1B44" w14:textId="77777777" w:rsidR="0057765C" w:rsidRPr="0057765C" w:rsidRDefault="0057765C" w:rsidP="0057765C">
      <w:pPr>
        <w:numPr>
          <w:ilvl w:val="0"/>
          <w:numId w:val="5"/>
        </w:numPr>
      </w:pPr>
      <w:r w:rsidRPr="0057765C">
        <w:rPr>
          <w:b/>
          <w:bCs/>
        </w:rPr>
        <w:t>Mayoría ordinaria:</w:t>
      </w:r>
      <w:r w:rsidRPr="0057765C">
        <w:t xml:space="preserve"> Los acuerdos se adoptan por mayoría de votos válidamente emitidos, siempre que representen al menos </w:t>
      </w:r>
      <w:r w:rsidRPr="0057765C">
        <w:rPr>
          <w:b/>
          <w:bCs/>
        </w:rPr>
        <w:t>1/3</w:t>
      </w:r>
      <w:r w:rsidRPr="0057765C">
        <w:t xml:space="preserve"> de los votos del capital social.</w:t>
      </w:r>
    </w:p>
    <w:p w14:paraId="28CECBAF" w14:textId="77777777" w:rsidR="0057765C" w:rsidRPr="0057765C" w:rsidRDefault="0057765C" w:rsidP="0057765C">
      <w:pPr>
        <w:numPr>
          <w:ilvl w:val="0"/>
          <w:numId w:val="5"/>
        </w:numPr>
      </w:pPr>
      <w:r w:rsidRPr="0057765C">
        <w:rPr>
          <w:b/>
          <w:bCs/>
        </w:rPr>
        <w:t>Mayoría de más de la mitad:</w:t>
      </w:r>
      <w:r w:rsidRPr="0057765C">
        <w:t xml:space="preserve"> Requerida para aumento/reducción de capital o modificación de estatutos.</w:t>
      </w:r>
    </w:p>
    <w:p w14:paraId="2068B318" w14:textId="77777777" w:rsidR="0057765C" w:rsidRPr="0057765C" w:rsidRDefault="0057765C" w:rsidP="0057765C">
      <w:pPr>
        <w:numPr>
          <w:ilvl w:val="0"/>
          <w:numId w:val="5"/>
        </w:numPr>
      </w:pPr>
      <w:r w:rsidRPr="0057765C">
        <w:rPr>
          <w:b/>
          <w:bCs/>
        </w:rPr>
        <w:t>Mayoría de dos tercios:</w:t>
      </w:r>
      <w:r w:rsidRPr="0057765C">
        <w:t xml:space="preserve"> Requerida para transformación, fusión, escisión, exclusión de socios o supresión del derecho de preferencia.</w:t>
      </w:r>
    </w:p>
    <w:p w14:paraId="6BAB743C" w14:textId="77777777" w:rsidR="0057765C" w:rsidRPr="0057765C" w:rsidRDefault="0057765C" w:rsidP="0057765C">
      <w:pPr>
        <w:rPr>
          <w:b/>
          <w:bCs/>
        </w:rPr>
      </w:pPr>
      <w:r w:rsidRPr="0057765C">
        <w:rPr>
          <w:b/>
          <w:bCs/>
        </w:rPr>
        <w:t>B. El Órgano de Administración</w:t>
      </w:r>
    </w:p>
    <w:p w14:paraId="2B971DCE" w14:textId="77777777" w:rsidR="0057765C" w:rsidRPr="0057765C" w:rsidRDefault="0057765C" w:rsidP="0057765C">
      <w:r w:rsidRPr="0057765C">
        <w:rPr>
          <w:b/>
          <w:bCs/>
        </w:rPr>
        <w:t>Artículo 13. Estructura de la administración</w:t>
      </w:r>
      <w:r w:rsidRPr="0057765C">
        <w:t xml:space="preserve"> La Junta General podrá optar por cualquiera de las siguientes formas de administración: a) </w:t>
      </w:r>
      <w:r w:rsidRPr="0057765C">
        <w:rPr>
          <w:b/>
          <w:bCs/>
        </w:rPr>
        <w:t>Administrador único</w:t>
      </w:r>
      <w:r w:rsidRPr="0057765C">
        <w:t xml:space="preserve">. b) </w:t>
      </w:r>
      <w:r w:rsidRPr="0057765C">
        <w:rPr>
          <w:b/>
          <w:bCs/>
        </w:rPr>
        <w:t>Administradores solidarios</w:t>
      </w:r>
      <w:r w:rsidRPr="0057765C">
        <w:t xml:space="preserve"> (máximo 4). c) </w:t>
      </w:r>
      <w:r w:rsidRPr="0057765C">
        <w:rPr>
          <w:b/>
          <w:bCs/>
        </w:rPr>
        <w:t>Dos administradores mancomunados</w:t>
      </w:r>
      <w:r w:rsidRPr="0057765C">
        <w:t xml:space="preserve">. d) </w:t>
      </w:r>
      <w:r w:rsidRPr="0057765C">
        <w:rPr>
          <w:b/>
          <w:bCs/>
        </w:rPr>
        <w:t>Consejo de Administración</w:t>
      </w:r>
      <w:r w:rsidRPr="0057765C">
        <w:t xml:space="preserve"> (mínimo 3 y máximo 7 miembros).</w:t>
      </w:r>
    </w:p>
    <w:p w14:paraId="5F5F32FD" w14:textId="77777777" w:rsidR="0057765C" w:rsidRPr="0057765C" w:rsidRDefault="0057765C" w:rsidP="0057765C">
      <w:r w:rsidRPr="0057765C">
        <w:rPr>
          <w:b/>
          <w:bCs/>
        </w:rPr>
        <w:t>Artículo 14. Facultades y carácter del cargo</w:t>
      </w:r>
    </w:p>
    <w:p w14:paraId="6233F4DE" w14:textId="77777777" w:rsidR="0057765C" w:rsidRPr="0057765C" w:rsidRDefault="0057765C" w:rsidP="0057765C">
      <w:pPr>
        <w:numPr>
          <w:ilvl w:val="0"/>
          <w:numId w:val="6"/>
        </w:numPr>
      </w:pPr>
      <w:r w:rsidRPr="0057765C">
        <w:t xml:space="preserve">El cargo será </w:t>
      </w:r>
      <w:r w:rsidRPr="0057765C">
        <w:rPr>
          <w:b/>
          <w:bCs/>
        </w:rPr>
        <w:t>gratuito</w:t>
      </w:r>
      <w:r w:rsidRPr="0057765C">
        <w:t>, a menos que la Junta General acuerde una retribución mediante dietas y sueldo.</w:t>
      </w:r>
    </w:p>
    <w:p w14:paraId="7E45C422" w14:textId="77777777" w:rsidR="0057765C" w:rsidRPr="0057765C" w:rsidRDefault="0057765C" w:rsidP="0057765C">
      <w:pPr>
        <w:numPr>
          <w:ilvl w:val="0"/>
          <w:numId w:val="6"/>
        </w:numPr>
      </w:pPr>
      <w:r w:rsidRPr="0057765C">
        <w:lastRenderedPageBreak/>
        <w:t xml:space="preserve">El ejercicio del cargo es por </w:t>
      </w:r>
      <w:r w:rsidRPr="0057765C">
        <w:rPr>
          <w:b/>
          <w:bCs/>
        </w:rPr>
        <w:t>tiempo indefinido</w:t>
      </w:r>
      <w:r w:rsidRPr="0057765C">
        <w:t>.</w:t>
      </w:r>
    </w:p>
    <w:p w14:paraId="5582443C" w14:textId="77777777" w:rsidR="0057765C" w:rsidRPr="0057765C" w:rsidRDefault="0057765C" w:rsidP="0057765C">
      <w:pPr>
        <w:numPr>
          <w:ilvl w:val="0"/>
          <w:numId w:val="6"/>
        </w:numPr>
      </w:pPr>
      <w:r w:rsidRPr="0057765C">
        <w:t>Los administradores tienen prohibido dedicarse a actividades que compitan con el objeto social de la empresa, salvo autorización expresa.</w:t>
      </w:r>
    </w:p>
    <w:p w14:paraId="0180A39E" w14:textId="058464F3" w:rsidR="0057765C" w:rsidRPr="0057765C" w:rsidRDefault="0057765C" w:rsidP="0057765C"/>
    <w:p w14:paraId="3F119481" w14:textId="77777777" w:rsidR="0057765C" w:rsidRPr="0057765C" w:rsidRDefault="0057765C" w:rsidP="0057765C">
      <w:pPr>
        <w:pStyle w:val="Ttulo1"/>
        <w:rPr>
          <w:color w:val="auto"/>
        </w:rPr>
      </w:pPr>
      <w:r w:rsidRPr="0057765C">
        <w:rPr>
          <w:color w:val="auto"/>
        </w:rPr>
        <w:t>TÍTULO IV. EJERCICIO SOCIAL, CUENTAS Y RESERVAS</w:t>
      </w:r>
    </w:p>
    <w:p w14:paraId="207AE3DF" w14:textId="77777777" w:rsidR="0057765C" w:rsidRPr="0057765C" w:rsidRDefault="0057765C" w:rsidP="0057765C">
      <w:r w:rsidRPr="0057765C">
        <w:rPr>
          <w:b/>
          <w:bCs/>
        </w:rPr>
        <w:t>Artículo 15. Ejercicio social</w:t>
      </w:r>
      <w:r w:rsidRPr="0057765C">
        <w:t xml:space="preserve"> El ejercicio se inicia el 1 de enero y concluye el 31 de diciembre de cada año.</w:t>
      </w:r>
    </w:p>
    <w:p w14:paraId="25849A23" w14:textId="77777777" w:rsidR="0057765C" w:rsidRPr="0057765C" w:rsidRDefault="0057765C" w:rsidP="0057765C">
      <w:r w:rsidRPr="0057765C">
        <w:rPr>
          <w:b/>
          <w:bCs/>
        </w:rPr>
        <w:t>Artículo 16. Distribución de beneficios y Reserva Especial</w:t>
      </w:r>
    </w:p>
    <w:p w14:paraId="6B19E610" w14:textId="77777777" w:rsidR="0057765C" w:rsidRPr="0057765C" w:rsidRDefault="0057765C" w:rsidP="0057765C">
      <w:pPr>
        <w:numPr>
          <w:ilvl w:val="0"/>
          <w:numId w:val="7"/>
        </w:numPr>
      </w:pPr>
      <w:r w:rsidRPr="0057765C">
        <w:t>Los dividendos se distribuirán en proporción a la participación en el capital social.</w:t>
      </w:r>
    </w:p>
    <w:p w14:paraId="5B9BDA3D" w14:textId="77777777" w:rsidR="0057765C" w:rsidRPr="0057765C" w:rsidRDefault="0057765C" w:rsidP="0057765C">
      <w:pPr>
        <w:numPr>
          <w:ilvl w:val="0"/>
          <w:numId w:val="7"/>
        </w:numPr>
      </w:pPr>
      <w:r w:rsidRPr="0057765C">
        <w:rPr>
          <w:b/>
          <w:bCs/>
        </w:rPr>
        <w:t>Fondo Especial de Reserva:</w:t>
      </w:r>
      <w:r w:rsidRPr="0057765C">
        <w:t xml:space="preserve"> La sociedad debe dotar este fondo con el </w:t>
      </w:r>
      <w:r w:rsidRPr="0057765C">
        <w:rPr>
          <w:b/>
          <w:bCs/>
        </w:rPr>
        <w:t>10% del beneficio líquido</w:t>
      </w:r>
      <w:r w:rsidRPr="0057765C">
        <w:t xml:space="preserve"> de cada ejercicio, hasta que alcance una cifra superior al doble del capital social.</w:t>
      </w:r>
    </w:p>
    <w:p w14:paraId="05103BB1" w14:textId="77777777" w:rsidR="0057765C" w:rsidRPr="0057765C" w:rsidRDefault="0057765C" w:rsidP="0057765C">
      <w:pPr>
        <w:numPr>
          <w:ilvl w:val="0"/>
          <w:numId w:val="7"/>
        </w:numPr>
      </w:pPr>
      <w:r w:rsidRPr="0057765C">
        <w:t>Este fondo solo podrá destinarse a compensar pérdidas o a la adquisición de participaciones propias para ser enajenadas a favor de los trabajadores indefinidos.</w:t>
      </w:r>
    </w:p>
    <w:p w14:paraId="5ACEAD7F" w14:textId="43B80429" w:rsidR="0057765C" w:rsidRPr="0057765C" w:rsidRDefault="0057765C" w:rsidP="0057765C"/>
    <w:p w14:paraId="45E2C3D1" w14:textId="77777777" w:rsidR="0057765C" w:rsidRPr="0057765C" w:rsidRDefault="0057765C" w:rsidP="0057765C">
      <w:pPr>
        <w:pStyle w:val="Ttulo1"/>
        <w:rPr>
          <w:color w:val="auto"/>
        </w:rPr>
      </w:pPr>
      <w:r w:rsidRPr="0057765C">
        <w:rPr>
          <w:color w:val="auto"/>
        </w:rPr>
        <w:t>TÍTULO V. DISOLUCIÓN Y LIQUIDACIÓN</w:t>
      </w:r>
    </w:p>
    <w:p w14:paraId="277F0B3C" w14:textId="77777777" w:rsidR="0057765C" w:rsidRPr="0057765C" w:rsidRDefault="0057765C" w:rsidP="0057765C">
      <w:r w:rsidRPr="0057765C">
        <w:rPr>
          <w:b/>
          <w:bCs/>
        </w:rPr>
        <w:t>Artículo 17. Disolución y Liquidación</w:t>
      </w:r>
    </w:p>
    <w:p w14:paraId="4FDEBC43" w14:textId="77777777" w:rsidR="0057765C" w:rsidRPr="0057765C" w:rsidRDefault="0057765C" w:rsidP="0057765C">
      <w:pPr>
        <w:numPr>
          <w:ilvl w:val="0"/>
          <w:numId w:val="8"/>
        </w:numPr>
      </w:pPr>
      <w:r w:rsidRPr="0057765C">
        <w:t>La sociedad se disolverá por las causas previstas en la Ley de Sociedades de Capital.</w:t>
      </w:r>
    </w:p>
    <w:p w14:paraId="2EE92A69" w14:textId="77777777" w:rsidR="0057765C" w:rsidRPr="0057765C" w:rsidRDefault="0057765C" w:rsidP="0057765C">
      <w:pPr>
        <w:numPr>
          <w:ilvl w:val="0"/>
          <w:numId w:val="8"/>
        </w:numPr>
      </w:pPr>
      <w:r w:rsidRPr="0057765C">
        <w:t xml:space="preserve">Durante la liquidación, se añadirá a la denominación la expresión </w:t>
      </w:r>
      <w:r w:rsidRPr="0057765C">
        <w:rPr>
          <w:b/>
          <w:bCs/>
        </w:rPr>
        <w:t>"en liquidación"</w:t>
      </w:r>
      <w:r w:rsidRPr="0057765C">
        <w:t>.</w:t>
      </w:r>
    </w:p>
    <w:p w14:paraId="420CD057" w14:textId="77777777" w:rsidR="0057765C" w:rsidRPr="0057765C" w:rsidRDefault="0057765C" w:rsidP="0057765C">
      <w:pPr>
        <w:numPr>
          <w:ilvl w:val="0"/>
          <w:numId w:val="8"/>
        </w:numPr>
      </w:pPr>
      <w:r w:rsidRPr="0057765C">
        <w:t>Finalizada la liquidación, el haber sobrante se repartirá entre los socios en proporción a sus participaciones</w:t>
      </w:r>
    </w:p>
    <w:p w14:paraId="111665E5" w14:textId="77777777" w:rsidR="005839D8" w:rsidRDefault="005839D8"/>
    <w:sectPr w:rsidR="00583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5B77"/>
    <w:multiLevelType w:val="multilevel"/>
    <w:tmpl w:val="449E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06322"/>
    <w:multiLevelType w:val="multilevel"/>
    <w:tmpl w:val="B3A2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94CAD"/>
    <w:multiLevelType w:val="multilevel"/>
    <w:tmpl w:val="7CD4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E2140"/>
    <w:multiLevelType w:val="multilevel"/>
    <w:tmpl w:val="96CA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D5322"/>
    <w:multiLevelType w:val="multilevel"/>
    <w:tmpl w:val="FB18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B58EC"/>
    <w:multiLevelType w:val="multilevel"/>
    <w:tmpl w:val="38EC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B4562"/>
    <w:multiLevelType w:val="multilevel"/>
    <w:tmpl w:val="188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3260B"/>
    <w:multiLevelType w:val="multilevel"/>
    <w:tmpl w:val="6C4C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279979">
    <w:abstractNumId w:val="5"/>
  </w:num>
  <w:num w:numId="2" w16cid:durableId="747724727">
    <w:abstractNumId w:val="4"/>
  </w:num>
  <w:num w:numId="3" w16cid:durableId="467404859">
    <w:abstractNumId w:val="2"/>
  </w:num>
  <w:num w:numId="4" w16cid:durableId="1599213516">
    <w:abstractNumId w:val="7"/>
  </w:num>
  <w:num w:numId="5" w16cid:durableId="964890830">
    <w:abstractNumId w:val="3"/>
  </w:num>
  <w:num w:numId="6" w16cid:durableId="634336572">
    <w:abstractNumId w:val="6"/>
  </w:num>
  <w:num w:numId="7" w16cid:durableId="26496109">
    <w:abstractNumId w:val="0"/>
  </w:num>
  <w:num w:numId="8" w16cid:durableId="14378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5C"/>
    <w:rsid w:val="0057765C"/>
    <w:rsid w:val="005839D8"/>
    <w:rsid w:val="00E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3DE9"/>
  <w15:chartTrackingRefBased/>
  <w15:docId w15:val="{BAD56665-586E-4D0E-B548-8AF5C23C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6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65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6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6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6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6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7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7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6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6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65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65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Barbe Garay</dc:creator>
  <cp:keywords/>
  <dc:description/>
  <cp:lastModifiedBy>Hector Barbe Garay</cp:lastModifiedBy>
  <cp:revision>1</cp:revision>
  <dcterms:created xsi:type="dcterms:W3CDTF">2026-03-10T09:41:00Z</dcterms:created>
  <dcterms:modified xsi:type="dcterms:W3CDTF">2026-03-10T09:49:00Z</dcterms:modified>
</cp:coreProperties>
</file>